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44" w:rsidRPr="00315F44" w:rsidRDefault="00315F44" w:rsidP="00315F44">
      <w:pPr>
        <w:shd w:val="clear" w:color="auto" w:fill="FFFFFF"/>
        <w:spacing w:after="150" w:line="645" w:lineRule="atLeast"/>
        <w:outlineLvl w:val="0"/>
        <w:rPr>
          <w:rFonts w:ascii="Helvetica" w:eastAsia="Times New Roman" w:hAnsi="Helvetica" w:cs="Times New Roman"/>
          <w:color w:val="F47A28"/>
          <w:kern w:val="36"/>
          <w:sz w:val="54"/>
          <w:szCs w:val="54"/>
        </w:rPr>
      </w:pPr>
      <w:r w:rsidRPr="00315F44">
        <w:rPr>
          <w:rFonts w:ascii="Helvetica" w:eastAsia="Times New Roman" w:hAnsi="Helvetica" w:cs="Times New Roman"/>
          <w:color w:val="F47A28"/>
          <w:kern w:val="36"/>
          <w:sz w:val="54"/>
          <w:szCs w:val="54"/>
        </w:rPr>
        <w:t>Giving Your Way - Program Guidelines</w:t>
      </w:r>
    </w:p>
    <w:p w:rsidR="00315F44" w:rsidRPr="00315F44" w:rsidRDefault="00315F44" w:rsidP="00315F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aps/>
          <w:color w:val="333333"/>
          <w:sz w:val="18"/>
          <w:szCs w:val="18"/>
        </w:rPr>
      </w:pPr>
      <w:r w:rsidRPr="00315F44">
        <w:rPr>
          <w:rFonts w:ascii="Helvetica" w:eastAsia="Times New Roman" w:hAnsi="Helvetica" w:cs="Times New Roman"/>
          <w:caps/>
          <w:color w:val="333333"/>
          <w:sz w:val="18"/>
          <w:szCs w:val="18"/>
        </w:rPr>
        <w:t>PUBLISHED MAR 21, 2017</w:t>
      </w:r>
    </w:p>
    <w:p w:rsidR="00315F44" w:rsidRPr="00315F44" w:rsidRDefault="00315F44" w:rsidP="00315F44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315F44" w:rsidRPr="00315F44" w:rsidRDefault="00315F44" w:rsidP="00315F44">
      <w:pPr>
        <w:shd w:val="clear" w:color="auto" w:fill="FFFFFF"/>
        <w:spacing w:after="150" w:line="42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Program Fundamentals</w:t>
      </w:r>
    </w:p>
    <w:p w:rsidR="00315F44" w:rsidRPr="00315F44" w:rsidRDefault="00315F44" w:rsidP="00315F44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 xml:space="preserve">Each year, hundreds of passionate </w:t>
      </w:r>
      <w:proofErr w:type="spellStart"/>
      <w:r w:rsidRPr="00315F44">
        <w:rPr>
          <w:rFonts w:ascii="Arial" w:eastAsia="Times New Roman" w:hAnsi="Arial" w:cs="Arial"/>
          <w:color w:val="333333"/>
          <w:sz w:val="20"/>
          <w:szCs w:val="20"/>
        </w:rPr>
        <w:t>Infoblox</w:t>
      </w:r>
      <w:proofErr w:type="spellEnd"/>
      <w:r w:rsidRPr="00315F44">
        <w:rPr>
          <w:rFonts w:ascii="Arial" w:eastAsia="Times New Roman" w:hAnsi="Arial" w:cs="Arial"/>
          <w:color w:val="333333"/>
          <w:sz w:val="20"/>
          <w:szCs w:val="20"/>
        </w:rPr>
        <w:t xml:space="preserve"> employees generously give their time, talents and financial contributions to support their local communities.  We are proud to help employees give twice as much though the </w:t>
      </w:r>
      <w:proofErr w:type="spellStart"/>
      <w:r w:rsidRPr="008D0E4C">
        <w:rPr>
          <w:rFonts w:ascii="Arial" w:eastAsia="Times New Roman" w:hAnsi="Arial" w:cs="Arial"/>
          <w:i/>
          <w:iCs/>
          <w:color w:val="333333"/>
          <w:sz w:val="20"/>
          <w:szCs w:val="20"/>
        </w:rPr>
        <w:t>Infoblox</w:t>
      </w:r>
      <w:proofErr w:type="spellEnd"/>
      <w:r w:rsidRPr="008D0E4C">
        <w:rPr>
          <w:rFonts w:ascii="Arial" w:eastAsia="Times New Roman" w:hAnsi="Arial" w:cs="Arial"/>
          <w:i/>
          <w:iCs/>
          <w:color w:val="333333"/>
          <w:sz w:val="20"/>
          <w:szCs w:val="20"/>
        </w:rPr>
        <w:t>: Giving Your Way</w:t>
      </w:r>
      <w:r w:rsidRPr="00315F44">
        <w:rPr>
          <w:rFonts w:ascii="Arial" w:eastAsia="Times New Roman" w:hAnsi="Arial" w:cs="Arial"/>
          <w:color w:val="333333"/>
          <w:sz w:val="20"/>
          <w:szCs w:val="20"/>
        </w:rPr>
        <w:t> charitable giving program.</w:t>
      </w:r>
    </w:p>
    <w:p w:rsidR="00315F44" w:rsidRPr="00315F44" w:rsidRDefault="00315F44" w:rsidP="00315F44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 xml:space="preserve">Through this program, </w:t>
      </w:r>
      <w:proofErr w:type="spellStart"/>
      <w:r w:rsidRPr="00315F44">
        <w:rPr>
          <w:rFonts w:ascii="Arial" w:eastAsia="Times New Roman" w:hAnsi="Arial" w:cs="Arial"/>
          <w:color w:val="333333"/>
          <w:sz w:val="20"/>
          <w:szCs w:val="20"/>
        </w:rPr>
        <w:t>Infoblox</w:t>
      </w:r>
      <w:proofErr w:type="spellEnd"/>
      <w:r w:rsidRPr="00315F44">
        <w:rPr>
          <w:rFonts w:ascii="Arial" w:eastAsia="Times New Roman" w:hAnsi="Arial" w:cs="Arial"/>
          <w:color w:val="333333"/>
          <w:sz w:val="20"/>
          <w:szCs w:val="20"/>
        </w:rPr>
        <w:t xml:space="preserve"> will match employee donations to charitable organizations that meet our established eligibility criteria, </w:t>
      </w:r>
      <w:proofErr w:type="gramStart"/>
      <w:r w:rsidRPr="00315F44">
        <w:rPr>
          <w:rFonts w:ascii="Arial" w:eastAsia="Times New Roman" w:hAnsi="Arial" w:cs="Arial"/>
          <w:color w:val="333333"/>
          <w:sz w:val="20"/>
          <w:szCs w:val="20"/>
        </w:rPr>
        <w:t>and also</w:t>
      </w:r>
      <w:proofErr w:type="gramEnd"/>
      <w:r w:rsidRPr="00315F44">
        <w:rPr>
          <w:rFonts w:ascii="Arial" w:eastAsia="Times New Roman" w:hAnsi="Arial" w:cs="Arial"/>
          <w:color w:val="333333"/>
          <w:sz w:val="20"/>
          <w:szCs w:val="20"/>
        </w:rPr>
        <w:t xml:space="preserve"> reward and track volunteer efforts. Our goal is to empower employees to support the causes they believe in and connect them to the communities in which they live.</w:t>
      </w:r>
    </w:p>
    <w:p w:rsidR="00315F44" w:rsidRPr="00315F44" w:rsidRDefault="00315F44" w:rsidP="008D0E4C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As you proceed with the matching gifts and volunteering process, please adhere to these guidelines:</w:t>
      </w:r>
    </w:p>
    <w:p w:rsidR="00315F44" w:rsidRPr="00315F44" w:rsidRDefault="00315F44" w:rsidP="008D0E4C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Program Guidelines</w:t>
      </w:r>
    </w:p>
    <w:p w:rsidR="00315F44" w:rsidRPr="00315F44" w:rsidRDefault="00315F44" w:rsidP="008D0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Eligible donations will be matched </w:t>
      </w:r>
      <w:r w:rsidRPr="00315F44">
        <w:rPr>
          <w:rFonts w:ascii="Arial" w:eastAsia="Times New Roman" w:hAnsi="Arial" w:cs="Arial"/>
          <w:color w:val="333333"/>
          <w:sz w:val="20"/>
          <w:szCs w:val="20"/>
          <w:u w:val="single"/>
        </w:rPr>
        <w:t>dollar-for-dollar</w:t>
      </w:r>
      <w:r w:rsidRPr="00315F44">
        <w:rPr>
          <w:rFonts w:ascii="Arial" w:eastAsia="Times New Roman" w:hAnsi="Arial" w:cs="Arial"/>
          <w:color w:val="333333"/>
          <w:sz w:val="20"/>
          <w:szCs w:val="20"/>
        </w:rPr>
        <w:t>, unless otherwise directed by the employee/donor.</w:t>
      </w:r>
    </w:p>
    <w:p w:rsidR="00315F44" w:rsidRPr="00315F44" w:rsidRDefault="00315F44" w:rsidP="00315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The maximum annual match amount is $500 per employee, per calendar year; this may be given in a single gift or several gifts totaling no more than $500.00 in a single calendar year.  Note that annual dollar limits are based on the date of the donor's gift.</w:t>
      </w:r>
    </w:p>
    <w:p w:rsidR="00315F44" w:rsidRPr="00315F44" w:rsidRDefault="00315F44" w:rsidP="00315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There is a maximum annual budget for matching gifts; once this budget cap is reached, matching gifts for the year will conclude and resume in the following calendar year.</w:t>
      </w:r>
    </w:p>
    <w:p w:rsidR="00315F44" w:rsidRPr="00315F44" w:rsidRDefault="00315F44" w:rsidP="00315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Matching gift requests must be received within 90 days of the date the gift was made.</w:t>
      </w:r>
    </w:p>
    <w:p w:rsidR="00315F44" w:rsidRPr="00315F44" w:rsidRDefault="00315F44" w:rsidP="00315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When multiple payments are given throughout the year to the same organization, each individual payment must meet all gift conditions and a request must be submitted for each gift.</w:t>
      </w:r>
    </w:p>
    <w:p w:rsidR="00315F44" w:rsidRPr="00315F44" w:rsidRDefault="00315F44" w:rsidP="00315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Non-monetary gifts, fees for services or payments to non-profit organizations for which the employee receives something of value in return, such as insurance premiums, tuition payments, tickets, or other items </w:t>
      </w:r>
      <w:r w:rsidRPr="00315F44">
        <w:rPr>
          <w:rFonts w:ascii="Arial" w:eastAsia="Times New Roman" w:hAnsi="Arial" w:cs="Arial"/>
          <w:color w:val="333333"/>
          <w:sz w:val="20"/>
          <w:szCs w:val="20"/>
          <w:u w:val="single"/>
        </w:rPr>
        <w:t>will not be matched</w:t>
      </w:r>
      <w:r w:rsidRPr="00315F44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315F44" w:rsidRPr="00315F44" w:rsidRDefault="00315F44" w:rsidP="00315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An individual gift where a personal affiliation exists between an employee and a family member or significant other at the recipient organization may require additional proof of payment.</w:t>
      </w:r>
    </w:p>
    <w:p w:rsidR="00315F44" w:rsidRPr="00315F44" w:rsidRDefault="00315F44" w:rsidP="00315F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Acceptable forms of proof include: acknowledgement letter or e-mail communication from the non- profit organization, donation receipt or similar documentation denoting the charitable donation.</w:t>
      </w:r>
    </w:p>
    <w:p w:rsidR="00315F44" w:rsidRPr="00315F44" w:rsidRDefault="00315F44" w:rsidP="008D0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 xml:space="preserve">       Payments to eligible nonprofit organizations will be processed </w:t>
      </w:r>
      <w:proofErr w:type="gramStart"/>
      <w:r w:rsidRPr="00315F44">
        <w:rPr>
          <w:rFonts w:ascii="Arial" w:eastAsia="Times New Roman" w:hAnsi="Arial" w:cs="Arial"/>
          <w:color w:val="333333"/>
          <w:sz w:val="20"/>
          <w:szCs w:val="20"/>
        </w:rPr>
        <w:t>on a monthly basis</w:t>
      </w:r>
      <w:proofErr w:type="gramEnd"/>
      <w:r w:rsidRPr="00315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Pr="00315F44">
        <w:rPr>
          <w:rFonts w:ascii="Tahoma" w:eastAsia="Times New Roman" w:hAnsi="Tahoma" w:cs="Tahoma"/>
          <w:color w:val="333333"/>
          <w:sz w:val="20"/>
          <w:szCs w:val="20"/>
        </w:rPr>
        <w:t> </w:t>
      </w:r>
    </w:p>
    <w:p w:rsidR="00315F44" w:rsidRPr="00315F44" w:rsidRDefault="00315F44" w:rsidP="008D0E4C">
      <w:pPr>
        <w:shd w:val="clear" w:color="auto" w:fill="FFFFFF"/>
        <w:spacing w:after="150" w:line="1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Participant Eligibility</w:t>
      </w:r>
    </w:p>
    <w:p w:rsidR="00315F44" w:rsidRPr="00315F44" w:rsidRDefault="00315F44" w:rsidP="008D0E4C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All full-time employees are eligible. Interns, part-time employees, independent contractors, consultants and temporary agency workers are not eligible. Employees are eligible starting on their first day of hire.</w:t>
      </w:r>
    </w:p>
    <w:p w:rsidR="00315F44" w:rsidRPr="00315F44" w:rsidRDefault="00315F44" w:rsidP="008D0E4C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Which institutions qualify to receive matching funds?</w:t>
      </w:r>
    </w:p>
    <w:p w:rsidR="00315F44" w:rsidRPr="00315F44" w:rsidRDefault="00315F44" w:rsidP="008D0E4C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 xml:space="preserve">Organizations must be nonprofit organizations registered in the United States or Canada and recognized by the Internal Revenue Service as tax-exempt and designated a public charity under section 501(c)(3) of the IRS Code. Additionally, charities are screened by IRS category. Ineligible charities will not appear on the </w:t>
      </w:r>
      <w:proofErr w:type="spellStart"/>
      <w:r w:rsidRPr="00315F44">
        <w:rPr>
          <w:rFonts w:ascii="Arial" w:eastAsia="Times New Roman" w:hAnsi="Arial" w:cs="Arial"/>
          <w:color w:val="333333"/>
          <w:sz w:val="20"/>
          <w:szCs w:val="20"/>
        </w:rPr>
        <w:t>Infoblox</w:t>
      </w:r>
      <w:proofErr w:type="spellEnd"/>
      <w:r w:rsidRPr="00315F44">
        <w:rPr>
          <w:rFonts w:ascii="Arial" w:eastAsia="Times New Roman" w:hAnsi="Arial" w:cs="Arial"/>
          <w:color w:val="333333"/>
          <w:sz w:val="20"/>
          <w:szCs w:val="20"/>
        </w:rPr>
        <w:t xml:space="preserve"> Foundation portal.</w:t>
      </w:r>
    </w:p>
    <w:p w:rsidR="00315F44" w:rsidRPr="00315F44" w:rsidRDefault="00315F44" w:rsidP="008D0E4C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How do I nominate a cause?</w:t>
      </w:r>
    </w:p>
    <w:p w:rsidR="00315F44" w:rsidRPr="00315F44" w:rsidRDefault="00315F44" w:rsidP="00315F44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You can nominate a cause for inclusion in the company's program. Under </w:t>
      </w:r>
      <w:r w:rsidRPr="008D0E4C">
        <w:rPr>
          <w:rFonts w:ascii="Arial" w:eastAsia="Times New Roman" w:hAnsi="Arial" w:cs="Arial"/>
          <w:i/>
          <w:iCs/>
          <w:color w:val="333333"/>
          <w:sz w:val="20"/>
          <w:szCs w:val="20"/>
        </w:rPr>
        <w:t>Quick Links</w:t>
      </w:r>
      <w:r w:rsidRPr="00315F44">
        <w:rPr>
          <w:rFonts w:ascii="Arial" w:eastAsia="Times New Roman" w:hAnsi="Arial" w:cs="Arial"/>
          <w:color w:val="333333"/>
          <w:sz w:val="20"/>
          <w:szCs w:val="20"/>
        </w:rPr>
        <w:t>, click </w:t>
      </w:r>
      <w:r w:rsidRPr="008D0E4C">
        <w:rPr>
          <w:rFonts w:ascii="Arial" w:eastAsia="Times New Roman" w:hAnsi="Arial" w:cs="Arial"/>
          <w:i/>
          <w:iCs/>
          <w:color w:val="333333"/>
          <w:sz w:val="20"/>
          <w:szCs w:val="20"/>
        </w:rPr>
        <w:t>Nominate a Cause</w:t>
      </w:r>
      <w:r w:rsidRPr="00315F44">
        <w:rPr>
          <w:rFonts w:ascii="Arial" w:eastAsia="Times New Roman" w:hAnsi="Arial" w:cs="Arial"/>
          <w:color w:val="333333"/>
          <w:sz w:val="20"/>
          <w:szCs w:val="20"/>
        </w:rPr>
        <w:t> and complete the Cause Nomination form. Include any information you have about the organization, such as their name, address or charity registration number (if you have it).</w:t>
      </w:r>
    </w:p>
    <w:p w:rsidR="00315F44" w:rsidRPr="00315F44" w:rsidRDefault="00315F44" w:rsidP="00315F44">
      <w:pPr>
        <w:shd w:val="clear" w:color="auto" w:fill="FFFFFF"/>
        <w:spacing w:after="150" w:line="20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Through our Volunteer program, employees who want to donate their time are encouraged to volunteer with charitable organizations. Through the platform you can:</w:t>
      </w:r>
    </w:p>
    <w:p w:rsidR="00315F44" w:rsidRPr="00315F44" w:rsidRDefault="00315F44" w:rsidP="00315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Share/post a volunteer opportunity with your colleagues</w:t>
      </w:r>
    </w:p>
    <w:p w:rsidR="00315F44" w:rsidRPr="00315F44" w:rsidRDefault="00315F44" w:rsidP="00315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Search and sign up for volunteer opportunities</w:t>
      </w:r>
    </w:p>
    <w:p w:rsidR="00315F44" w:rsidRPr="00315F44" w:rsidRDefault="00315F44" w:rsidP="00315F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0" w:lineRule="atLeast"/>
        <w:ind w:left="374"/>
        <w:rPr>
          <w:rFonts w:ascii="Arial" w:eastAsia="Times New Roman" w:hAnsi="Arial" w:cs="Arial"/>
          <w:color w:val="333333"/>
          <w:sz w:val="20"/>
          <w:szCs w:val="20"/>
        </w:rPr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       Track your volunteer hours</w:t>
      </w:r>
    </w:p>
    <w:p w:rsidR="00C36DD8" w:rsidRDefault="00315F44" w:rsidP="008D0E4C">
      <w:pPr>
        <w:shd w:val="clear" w:color="auto" w:fill="FFFFFF"/>
        <w:spacing w:line="200" w:lineRule="atLeast"/>
      </w:pPr>
      <w:r w:rsidRPr="00315F44">
        <w:rPr>
          <w:rFonts w:ascii="Arial" w:eastAsia="Times New Roman" w:hAnsi="Arial" w:cs="Arial"/>
          <w:color w:val="333333"/>
          <w:sz w:val="20"/>
          <w:szCs w:val="20"/>
        </w:rPr>
        <w:t>All full-time employees are offered two full days per year to volunteer. Volunteering can be done in shorter increments than a full day. A full day is considered an eight-hour day.</w:t>
      </w:r>
      <w:bookmarkStart w:id="0" w:name="_GoBack"/>
      <w:bookmarkEnd w:id="0"/>
    </w:p>
    <w:sectPr w:rsidR="00C36DD8" w:rsidSect="008D0E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D4944"/>
    <w:multiLevelType w:val="multilevel"/>
    <w:tmpl w:val="0D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27B17"/>
    <w:multiLevelType w:val="multilevel"/>
    <w:tmpl w:val="C53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44"/>
    <w:rsid w:val="00315F44"/>
    <w:rsid w:val="007907D1"/>
    <w:rsid w:val="008D0E4C"/>
    <w:rsid w:val="00C3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B12C8F-D666-44EA-8BAE-FE5E6F20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5F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F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mail-label">
    <w:name w:val="gmail-label"/>
    <w:basedOn w:val="DefaultParagraphFont"/>
    <w:rsid w:val="00315F44"/>
  </w:style>
  <w:style w:type="paragraph" w:styleId="NormalWeb">
    <w:name w:val="Normal (Web)"/>
    <w:basedOn w:val="Normal"/>
    <w:uiPriority w:val="99"/>
    <w:semiHidden/>
    <w:unhideWhenUsed/>
    <w:rsid w:val="0031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15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703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17421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30" w:color="DDDDDD"/>
                        <w:bottom w:val="single" w:sz="6" w:space="30" w:color="DDDDDD"/>
                        <w:right w:val="none" w:sz="0" w:space="0" w:color="auto"/>
                      </w:divBdr>
                      <w:divsChild>
                        <w:div w:id="11731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4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11880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</dc:creator>
  <cp:keywords/>
  <dc:description/>
  <cp:lastModifiedBy>leann</cp:lastModifiedBy>
  <cp:revision>1</cp:revision>
  <dcterms:created xsi:type="dcterms:W3CDTF">2018-01-17T17:18:00Z</dcterms:created>
  <dcterms:modified xsi:type="dcterms:W3CDTF">2018-01-17T17:38:00Z</dcterms:modified>
</cp:coreProperties>
</file>